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486" w:rsidRPr="00B310A4" w:rsidRDefault="007003DC">
      <w:pPr>
        <w:rPr>
          <w:b/>
        </w:rPr>
      </w:pPr>
      <w:bookmarkStart w:id="0" w:name="_GoBack"/>
      <w:r>
        <w:rPr>
          <w:b/>
        </w:rPr>
        <w:t>Klinisch redeneren voor verzorgenden</w:t>
      </w:r>
    </w:p>
    <w:bookmarkEnd w:id="0"/>
    <w:p w:rsidR="00DB0A03" w:rsidRDefault="00DB0A03">
      <w:pPr>
        <w:rPr>
          <w:rFonts w:cstheme="minorHAnsi"/>
          <w:shd w:val="clear" w:color="auto" w:fill="FFFFFF"/>
        </w:rPr>
      </w:pPr>
      <w:r>
        <w:t>Klinisch redeneren is een methode waarmee je kunt bepalen wat er met een zorgvrager aan de hand is en welke interventies er nodig zijn om het probleem aan te pakken. Redeneren wil zeggen; ‘</w:t>
      </w:r>
      <w:r w:rsidRPr="00DB0A03">
        <w:rPr>
          <w:rFonts w:cstheme="minorHAnsi"/>
          <w:shd w:val="clear" w:color="auto" w:fill="FFFFFF"/>
        </w:rPr>
        <w:t>zijn mening over iets ontwikkelen op basis van feiten of veronderstellingen</w:t>
      </w:r>
      <w:r>
        <w:rPr>
          <w:rFonts w:cstheme="minorHAnsi"/>
          <w:shd w:val="clear" w:color="auto" w:fill="FFFFFF"/>
        </w:rPr>
        <w:t>’ (van Dale) en klinisch wil zeggen: ‘</w:t>
      </w:r>
      <w:r w:rsidRPr="00DB0A03">
        <w:rPr>
          <w:rFonts w:cstheme="minorHAnsi"/>
          <w:shd w:val="clear" w:color="auto" w:fill="FFFFFF"/>
        </w:rPr>
        <w:t>het ziekbed betreffend</w:t>
      </w:r>
      <w:r>
        <w:rPr>
          <w:rFonts w:cstheme="minorHAnsi"/>
          <w:shd w:val="clear" w:color="auto" w:fill="FFFFFF"/>
        </w:rPr>
        <w:t>’</w:t>
      </w:r>
      <w:r w:rsidR="00B310A4">
        <w:rPr>
          <w:rFonts w:cstheme="minorHAnsi"/>
          <w:shd w:val="clear" w:color="auto" w:fill="FFFFFF"/>
        </w:rPr>
        <w:t xml:space="preserve"> </w:t>
      </w:r>
      <w:r>
        <w:rPr>
          <w:rFonts w:cstheme="minorHAnsi"/>
          <w:shd w:val="clear" w:color="auto" w:fill="FFFFFF"/>
        </w:rPr>
        <w:t>(van Dale)</w:t>
      </w:r>
    </w:p>
    <w:p w:rsidR="00DB0A03" w:rsidRDefault="00DB0A03">
      <w:pPr>
        <w:rPr>
          <w:rFonts w:cstheme="minorHAnsi"/>
          <w:shd w:val="clear" w:color="auto" w:fill="FFFFFF"/>
        </w:rPr>
      </w:pPr>
      <w:r>
        <w:rPr>
          <w:rFonts w:cstheme="minorHAnsi"/>
          <w:shd w:val="clear" w:color="auto" w:fill="FFFFFF"/>
        </w:rPr>
        <w:t>Om de situatie van een zorgvrager goed in te kunnen schatten is het belangrijk dat je methodisch te werk gaat. Je kunt hierbij gebruik maken van onderstaand stappenplan.</w:t>
      </w:r>
    </w:p>
    <w:p w:rsidR="00DB0A03" w:rsidRDefault="00DB0A03">
      <w:pPr>
        <w:rPr>
          <w:rFonts w:cstheme="minorHAnsi"/>
          <w:shd w:val="clear" w:color="auto" w:fill="FFFFFF"/>
        </w:rPr>
      </w:pPr>
      <w:r>
        <w:rPr>
          <w:noProof/>
          <w:lang w:eastAsia="nl-NL"/>
        </w:rPr>
        <w:drawing>
          <wp:inline distT="0" distB="0" distL="0" distR="0" wp14:anchorId="5AD86B1F" wp14:editId="3B927C3A">
            <wp:extent cx="5816023" cy="5124450"/>
            <wp:effectExtent l="0" t="0" r="0" b="0"/>
            <wp:docPr id="2" name="Afbeelding 2" descr="https://maken.wikiwijs.nl/generated/s1152x864_55ccd198afea9c9a78aa19328e863c575119a0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ken.wikiwijs.nl/generated/s1152x864_55ccd198afea9c9a78aa19328e863c575119a0a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7051" cy="5134167"/>
                    </a:xfrm>
                    <a:prstGeom prst="rect">
                      <a:avLst/>
                    </a:prstGeom>
                    <a:noFill/>
                    <a:ln>
                      <a:noFill/>
                    </a:ln>
                  </pic:spPr>
                </pic:pic>
              </a:graphicData>
            </a:graphic>
          </wp:inline>
        </w:drawing>
      </w:r>
    </w:p>
    <w:p w:rsidR="00B310A4" w:rsidRDefault="00B310A4"/>
    <w:p w:rsidR="00B310A4" w:rsidRDefault="00B310A4"/>
    <w:p w:rsidR="00B310A4" w:rsidRDefault="00B310A4"/>
    <w:p w:rsidR="00B310A4" w:rsidRDefault="00B310A4"/>
    <w:p w:rsidR="00B310A4" w:rsidRDefault="00B310A4"/>
    <w:p w:rsidR="00B310A4" w:rsidRDefault="00B310A4"/>
    <w:p w:rsidR="00B310A4" w:rsidRDefault="00B310A4"/>
    <w:p w:rsidR="00B310A4" w:rsidRDefault="007003DC">
      <w:r>
        <w:lastRenderedPageBreak/>
        <w:t>Bij elke stap kun je gebruik maken van een redeneerhulp.</w:t>
      </w:r>
    </w:p>
    <w:tbl>
      <w:tblPr>
        <w:tblStyle w:val="Tabelraster"/>
        <w:tblW w:w="0" w:type="auto"/>
        <w:tblLook w:val="04A0" w:firstRow="1" w:lastRow="0" w:firstColumn="1" w:lastColumn="0" w:noHBand="0" w:noVBand="1"/>
      </w:tblPr>
      <w:tblGrid>
        <w:gridCol w:w="3020"/>
        <w:gridCol w:w="3021"/>
        <w:gridCol w:w="3021"/>
      </w:tblGrid>
      <w:tr w:rsidR="007003DC" w:rsidTr="007003DC">
        <w:tc>
          <w:tcPr>
            <w:tcW w:w="3020" w:type="dxa"/>
          </w:tcPr>
          <w:p w:rsidR="007003DC" w:rsidRDefault="007003DC">
            <w:r>
              <w:t>Stappen</w:t>
            </w:r>
          </w:p>
        </w:tc>
        <w:tc>
          <w:tcPr>
            <w:tcW w:w="3021" w:type="dxa"/>
          </w:tcPr>
          <w:p w:rsidR="007003DC" w:rsidRDefault="007003DC">
            <w:r>
              <w:t xml:space="preserve">Redeneerhulpen </w:t>
            </w:r>
          </w:p>
        </w:tc>
        <w:tc>
          <w:tcPr>
            <w:tcW w:w="3021" w:type="dxa"/>
          </w:tcPr>
          <w:p w:rsidR="007003DC" w:rsidRDefault="007003DC"/>
        </w:tc>
      </w:tr>
      <w:tr w:rsidR="007003DC" w:rsidTr="007003DC">
        <w:tc>
          <w:tcPr>
            <w:tcW w:w="3020" w:type="dxa"/>
          </w:tcPr>
          <w:p w:rsidR="007003DC" w:rsidRDefault="007003DC">
            <w:r>
              <w:t>Gegevens verzamelen via anamnese, observaties, andere disciplines</w:t>
            </w:r>
          </w:p>
        </w:tc>
        <w:tc>
          <w:tcPr>
            <w:tcW w:w="3021" w:type="dxa"/>
          </w:tcPr>
          <w:p w:rsidR="007003DC" w:rsidRDefault="007003DC">
            <w:r>
              <w:t>Risicosignaleringslijsten, Verkorte checklist veilige zorg, DOS, SNAQ, SCEGS</w:t>
            </w:r>
          </w:p>
        </w:tc>
        <w:tc>
          <w:tcPr>
            <w:tcW w:w="3021" w:type="dxa"/>
          </w:tcPr>
          <w:p w:rsidR="007003DC" w:rsidRDefault="007003DC"/>
        </w:tc>
      </w:tr>
      <w:tr w:rsidR="007003DC" w:rsidTr="007003DC">
        <w:tc>
          <w:tcPr>
            <w:tcW w:w="3020" w:type="dxa"/>
          </w:tcPr>
          <w:p w:rsidR="007003DC" w:rsidRDefault="007003DC">
            <w:r>
              <w:t>Gegevens ordenen</w:t>
            </w:r>
          </w:p>
        </w:tc>
        <w:tc>
          <w:tcPr>
            <w:tcW w:w="3021" w:type="dxa"/>
          </w:tcPr>
          <w:p w:rsidR="007003DC" w:rsidRDefault="007003DC" w:rsidP="007003DC">
            <w:r>
              <w:t>4 domeinen</w:t>
            </w:r>
          </w:p>
          <w:p w:rsidR="007003DC" w:rsidRDefault="007003DC" w:rsidP="007003DC">
            <w:r>
              <w:t>GORDON</w:t>
            </w:r>
          </w:p>
          <w:p w:rsidR="007003DC" w:rsidRDefault="007003DC" w:rsidP="007003DC">
            <w:r>
              <w:t>OMAHA</w:t>
            </w:r>
          </w:p>
        </w:tc>
        <w:tc>
          <w:tcPr>
            <w:tcW w:w="3021" w:type="dxa"/>
          </w:tcPr>
          <w:p w:rsidR="007003DC" w:rsidRDefault="007003DC"/>
        </w:tc>
      </w:tr>
      <w:tr w:rsidR="007003DC" w:rsidTr="007003DC">
        <w:tc>
          <w:tcPr>
            <w:tcW w:w="3020" w:type="dxa"/>
          </w:tcPr>
          <w:p w:rsidR="007003DC" w:rsidRDefault="007003DC">
            <w:r>
              <w:t>Verbanden leggen tussen de gegevens</w:t>
            </w:r>
          </w:p>
        </w:tc>
        <w:tc>
          <w:tcPr>
            <w:tcW w:w="3021" w:type="dxa"/>
          </w:tcPr>
          <w:p w:rsidR="007003DC" w:rsidRDefault="007003DC">
            <w:r>
              <w:t>EWS en SBAR</w:t>
            </w:r>
          </w:p>
        </w:tc>
        <w:tc>
          <w:tcPr>
            <w:tcW w:w="3021" w:type="dxa"/>
          </w:tcPr>
          <w:p w:rsidR="007003DC" w:rsidRDefault="007003DC"/>
        </w:tc>
      </w:tr>
      <w:tr w:rsidR="007003DC" w:rsidTr="007003DC">
        <w:tc>
          <w:tcPr>
            <w:tcW w:w="3020" w:type="dxa"/>
          </w:tcPr>
          <w:p w:rsidR="007003DC" w:rsidRDefault="007003DC">
            <w:r>
              <w:t>Voorlopige diagnose stellen</w:t>
            </w:r>
          </w:p>
        </w:tc>
        <w:tc>
          <w:tcPr>
            <w:tcW w:w="3021" w:type="dxa"/>
          </w:tcPr>
          <w:p w:rsidR="007003DC" w:rsidRDefault="007003DC">
            <w:r>
              <w:t>PES, SMART</w:t>
            </w:r>
          </w:p>
        </w:tc>
        <w:tc>
          <w:tcPr>
            <w:tcW w:w="3021" w:type="dxa"/>
          </w:tcPr>
          <w:p w:rsidR="007003DC" w:rsidRDefault="007003DC"/>
        </w:tc>
      </w:tr>
      <w:tr w:rsidR="007003DC" w:rsidTr="007003DC">
        <w:tc>
          <w:tcPr>
            <w:tcW w:w="3020" w:type="dxa"/>
          </w:tcPr>
          <w:p w:rsidR="007003DC" w:rsidRDefault="007003DC">
            <w:r>
              <w:t>Diagnose toetsen bij de zorgvrager, naasten, collega’s en andere disciplines</w:t>
            </w:r>
          </w:p>
        </w:tc>
        <w:tc>
          <w:tcPr>
            <w:tcW w:w="3021" w:type="dxa"/>
          </w:tcPr>
          <w:p w:rsidR="007003DC" w:rsidRDefault="007003DC"/>
        </w:tc>
        <w:tc>
          <w:tcPr>
            <w:tcW w:w="3021" w:type="dxa"/>
          </w:tcPr>
          <w:p w:rsidR="007003DC" w:rsidRDefault="007003DC"/>
        </w:tc>
      </w:tr>
      <w:tr w:rsidR="007003DC" w:rsidTr="007003DC">
        <w:tc>
          <w:tcPr>
            <w:tcW w:w="3020" w:type="dxa"/>
          </w:tcPr>
          <w:p w:rsidR="007003DC" w:rsidRDefault="007003DC">
            <w:r>
              <w:t>Interventies uitvoeren op basis van protocol of in opdracht van de verpleegkundige of de arts</w:t>
            </w:r>
          </w:p>
        </w:tc>
        <w:tc>
          <w:tcPr>
            <w:tcW w:w="3021" w:type="dxa"/>
          </w:tcPr>
          <w:p w:rsidR="007003DC" w:rsidRDefault="007003DC">
            <w:r>
              <w:t>SOAP</w:t>
            </w:r>
          </w:p>
        </w:tc>
        <w:tc>
          <w:tcPr>
            <w:tcW w:w="3021" w:type="dxa"/>
          </w:tcPr>
          <w:p w:rsidR="007003DC" w:rsidRDefault="007003DC"/>
        </w:tc>
      </w:tr>
      <w:tr w:rsidR="007003DC" w:rsidTr="007003DC">
        <w:tc>
          <w:tcPr>
            <w:tcW w:w="3020" w:type="dxa"/>
          </w:tcPr>
          <w:p w:rsidR="007003DC" w:rsidRDefault="007003DC">
            <w:r>
              <w:t xml:space="preserve">Resultaat evalueren </w:t>
            </w:r>
          </w:p>
        </w:tc>
        <w:tc>
          <w:tcPr>
            <w:tcW w:w="3021" w:type="dxa"/>
          </w:tcPr>
          <w:p w:rsidR="007003DC" w:rsidRDefault="007003DC">
            <w:r>
              <w:t>STARR, risicosignaleringslijsten</w:t>
            </w:r>
          </w:p>
        </w:tc>
        <w:tc>
          <w:tcPr>
            <w:tcW w:w="3021" w:type="dxa"/>
          </w:tcPr>
          <w:p w:rsidR="007003DC" w:rsidRDefault="007003DC"/>
        </w:tc>
      </w:tr>
    </w:tbl>
    <w:p w:rsidR="007003DC" w:rsidRDefault="007003DC"/>
    <w:sectPr w:rsidR="007003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35E51"/>
    <w:multiLevelType w:val="hybridMultilevel"/>
    <w:tmpl w:val="41D855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F81AE7"/>
    <w:multiLevelType w:val="hybridMultilevel"/>
    <w:tmpl w:val="B2AE5F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C87BB7"/>
    <w:multiLevelType w:val="multilevel"/>
    <w:tmpl w:val="E7FE8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4F3F24"/>
    <w:multiLevelType w:val="hybridMultilevel"/>
    <w:tmpl w:val="26B42A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18D"/>
    <w:rsid w:val="0003294D"/>
    <w:rsid w:val="001611C9"/>
    <w:rsid w:val="002C7486"/>
    <w:rsid w:val="00363EA9"/>
    <w:rsid w:val="00624B96"/>
    <w:rsid w:val="00651BA0"/>
    <w:rsid w:val="006D518D"/>
    <w:rsid w:val="007003DC"/>
    <w:rsid w:val="00756381"/>
    <w:rsid w:val="0076006D"/>
    <w:rsid w:val="00B310A4"/>
    <w:rsid w:val="00DA54F7"/>
    <w:rsid w:val="00DB0A03"/>
    <w:rsid w:val="00F323B5"/>
    <w:rsid w:val="00FC376A"/>
    <w:rsid w:val="00FF48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7DEFE"/>
  <w15:chartTrackingRefBased/>
  <w15:docId w15:val="{71BD21C6-0DAE-4377-98C3-2467A82F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56381"/>
    <w:pPr>
      <w:ind w:left="720"/>
      <w:contextualSpacing/>
    </w:pPr>
  </w:style>
  <w:style w:type="table" w:styleId="Tabelraster">
    <w:name w:val="Table Grid"/>
    <w:basedOn w:val="Standaardtabel"/>
    <w:uiPriority w:val="39"/>
    <w:rsid w:val="00700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0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976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Wieteke</dc:creator>
  <cp:keywords/>
  <dc:description/>
  <cp:lastModifiedBy>Wieteke de Roos</cp:lastModifiedBy>
  <cp:revision>2</cp:revision>
  <dcterms:created xsi:type="dcterms:W3CDTF">2019-05-09T07:39:00Z</dcterms:created>
  <dcterms:modified xsi:type="dcterms:W3CDTF">2019-05-09T07:39:00Z</dcterms:modified>
</cp:coreProperties>
</file>